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F4F9D" w14:textId="77777777" w:rsidR="001B31F6" w:rsidRPr="00650EE3" w:rsidRDefault="008A7ECA" w:rsidP="006F12BF">
      <w:pPr>
        <w:spacing w:after="120"/>
        <w:rPr>
          <w:rFonts w:ascii="Arial" w:hAnsi="Arial" w:cs="Arial"/>
          <w:b/>
          <w:color w:val="FF8300"/>
          <w:sz w:val="52"/>
          <w:szCs w:val="52"/>
          <w:lang w:val="ca-ES"/>
        </w:rPr>
        <w:sectPr w:rsidR="001B31F6" w:rsidRPr="00650EE3" w:rsidSect="00816103">
          <w:headerReference w:type="default" r:id="rId7"/>
          <w:footerReference w:type="default" r:id="rId8"/>
          <w:pgSz w:w="11900" w:h="16840"/>
          <w:pgMar w:top="1417" w:right="1701" w:bottom="1417" w:left="1701" w:header="708" w:footer="258" w:gutter="0"/>
          <w:cols w:space="708"/>
          <w:docGrid w:linePitch="360"/>
        </w:sectPr>
      </w:pPr>
      <w:r w:rsidRPr="00650EE3">
        <w:rPr>
          <w:rFonts w:ascii="Circular Std Book" w:hAnsi="Circular Std Book" w:cs="Arial"/>
          <w:noProof/>
          <w:color w:val="111E90"/>
          <w:sz w:val="44"/>
          <w:szCs w:val="44"/>
          <w:lang w:val="es-ES"/>
        </w:rPr>
        <w:drawing>
          <wp:inline distT="0" distB="0" distL="0" distR="0" wp14:anchorId="04068339" wp14:editId="08E4D8C8">
            <wp:extent cx="692150" cy="692150"/>
            <wp:effectExtent l="0" t="0" r="0" b="0"/>
            <wp:docPr id="1" name="Imagen 1" descr="C:\Users\cco\AppData\Local\Microsoft\Windows\Temporary Internet Files\Content.Word\comunicacio_bla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co\AppData\Local\Microsoft\Windows\Temporary Internet Files\Content.Word\comunicacio_blau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15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84665" w14:textId="34697DDF" w:rsidR="001855CA" w:rsidRDefault="00365EE4" w:rsidP="0018363F">
      <w:pPr>
        <w:spacing w:after="120"/>
        <w:rPr>
          <w:rFonts w:ascii="Circular Std Book" w:hAnsi="Circular Std Book" w:cs="Circular Std Book"/>
          <w:color w:val="111E90"/>
          <w:sz w:val="44"/>
          <w:szCs w:val="44"/>
          <w:lang w:val="es-ES"/>
        </w:rPr>
      </w:pPr>
      <w:proofErr w:type="spellStart"/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Fundació</w:t>
      </w:r>
      <w:proofErr w:type="spellEnd"/>
      <w:r w:rsidRPr="00CB3C21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Caixa Ontinyent </w:t>
      </w:r>
      <w:r w:rsidR="001855CA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presenta </w:t>
      </w:r>
      <w:r w:rsidR="00790919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“</w:t>
      </w:r>
      <w:proofErr w:type="spellStart"/>
      <w:r w:rsidR="00790919" w:rsidRPr="00790919">
        <w:rPr>
          <w:rFonts w:ascii="Circular Std Book" w:hAnsi="Circular Std Book" w:cs="Circular Std Book"/>
          <w:i/>
          <w:iCs/>
          <w:color w:val="111E90"/>
          <w:sz w:val="44"/>
          <w:szCs w:val="44"/>
          <w:lang w:val="es-ES"/>
        </w:rPr>
        <w:t>Porquiland</w:t>
      </w:r>
      <w:proofErr w:type="spellEnd"/>
      <w:r w:rsidR="00790919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”, </w:t>
      </w:r>
      <w:r w:rsidR="001855CA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un juego</w:t>
      </w:r>
      <w:r w:rsidR="005704F2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de mesa</w:t>
      </w:r>
      <w:r w:rsidR="001855CA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 xml:space="preserve"> para aproximar la educación financiera </w:t>
      </w:r>
      <w:r w:rsidR="00C30E22">
        <w:rPr>
          <w:rFonts w:ascii="Circular Std Book" w:hAnsi="Circular Std Book" w:cs="Circular Std Book"/>
          <w:color w:val="111E90"/>
          <w:sz w:val="44"/>
          <w:szCs w:val="44"/>
          <w:lang w:val="es-ES"/>
        </w:rPr>
        <w:t>a alumnos de 5º y 6º de primaria</w:t>
      </w:r>
    </w:p>
    <w:p w14:paraId="381ABB0C" w14:textId="615D6836" w:rsidR="00323B67" w:rsidRPr="00CB3C21" w:rsidRDefault="00323B67" w:rsidP="00323B67">
      <w:pPr>
        <w:spacing w:line="360" w:lineRule="auto"/>
        <w:rPr>
          <w:rFonts w:ascii="Circular Std Book" w:hAnsi="Circular Std Book" w:cs="Circular Std Book"/>
          <w:b/>
          <w:color w:val="111E90"/>
          <w:szCs w:val="44"/>
          <w:lang w:val="es-ES"/>
        </w:rPr>
      </w:pPr>
      <w:r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Con motivo del </w:t>
      </w:r>
      <w:r w:rsidR="00E803EF"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>Día de la Educació</w:t>
      </w:r>
      <w:r w:rsidRPr="00CB3C21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n Financiera, presenta las actividades previstas para los próximos meses. </w:t>
      </w:r>
      <w:r w:rsidR="00C30E22">
        <w:rPr>
          <w:rFonts w:ascii="Circular Std Book" w:hAnsi="Circular Std Book" w:cs="Circular Std Book"/>
          <w:b/>
          <w:color w:val="111E90"/>
          <w:szCs w:val="44"/>
          <w:lang w:val="es-ES"/>
        </w:rPr>
        <w:t>El programa</w:t>
      </w:r>
      <w:r w:rsidR="0040691E">
        <w:rPr>
          <w:rFonts w:ascii="Circular Std Book" w:hAnsi="Circular Std Book" w:cs="Circular Std Book"/>
          <w:b/>
          <w:color w:val="111E90"/>
          <w:szCs w:val="44"/>
          <w:lang w:val="es-ES"/>
        </w:rPr>
        <w:t>, dirigido a personas de todas las edades</w:t>
      </w:r>
      <w:r w:rsidR="001D2396">
        <w:rPr>
          <w:rFonts w:ascii="Circular Std Book" w:hAnsi="Circular Std Book" w:cs="Circular Std Book"/>
          <w:b/>
          <w:color w:val="111E90"/>
          <w:szCs w:val="44"/>
          <w:lang w:val="es-ES"/>
        </w:rPr>
        <w:t>,</w:t>
      </w:r>
      <w:r w:rsidR="00C30E22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 ha sido utilizado</w:t>
      </w:r>
      <w:r w:rsidR="0040691E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 </w:t>
      </w:r>
      <w:r w:rsidR="00C30E22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por </w:t>
      </w:r>
      <w:r w:rsidR="0040691E">
        <w:rPr>
          <w:rFonts w:ascii="Circular Std Book" w:hAnsi="Circular Std Book" w:cs="Circular Std Book"/>
          <w:b/>
          <w:color w:val="111E90"/>
          <w:szCs w:val="44"/>
          <w:lang w:val="es-ES"/>
        </w:rPr>
        <w:t xml:space="preserve">más de </w:t>
      </w:r>
      <w:r w:rsidR="00C30E22">
        <w:rPr>
          <w:rFonts w:ascii="Circular Std Book" w:hAnsi="Circular Std Book" w:cs="Circular Std Book"/>
          <w:b/>
          <w:color w:val="111E90"/>
          <w:szCs w:val="44"/>
          <w:lang w:val="es-ES"/>
        </w:rPr>
        <w:t>1</w:t>
      </w:r>
      <w:r w:rsidR="00790919">
        <w:rPr>
          <w:rFonts w:ascii="Circular Std Book" w:hAnsi="Circular Std Book" w:cs="Circular Std Book"/>
          <w:b/>
          <w:color w:val="111E90"/>
          <w:szCs w:val="44"/>
          <w:lang w:val="es-ES"/>
        </w:rPr>
        <w:t>5</w:t>
      </w:r>
      <w:r w:rsidR="00C30E22">
        <w:rPr>
          <w:rFonts w:ascii="Circular Std Book" w:hAnsi="Circular Std Book" w:cs="Circular Std Book"/>
          <w:b/>
          <w:color w:val="111E90"/>
          <w:szCs w:val="44"/>
          <w:lang w:val="es-ES"/>
        </w:rPr>
        <w:t>0.000 personas.</w:t>
      </w:r>
    </w:p>
    <w:p w14:paraId="5BF359AF" w14:textId="451E1812" w:rsidR="00C30E22" w:rsidRDefault="00597986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 w:rsidRPr="00CB3C21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 motivo del Día de la Educación Financiera, </w:t>
      </w:r>
      <w:r w:rsidR="00C30E2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que se celebra el próximo lunes 7 de octubre, </w:t>
      </w:r>
      <w:proofErr w:type="spellStart"/>
      <w:r w:rsidR="00C30E2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 w:rsidR="00C30E22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Caixa Ontinyent ha presentado el programa para el nuevo curso que contempla actuaciones para todos los grupos de edad. </w:t>
      </w:r>
    </w:p>
    <w:p w14:paraId="08E6F284" w14:textId="71C6326B" w:rsidR="00C30E22" w:rsidRDefault="00C30E22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Como novedad, este año se ha presentado </w:t>
      </w:r>
      <w:r w:rsidR="0079091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“</w:t>
      </w:r>
      <w:proofErr w:type="spellStart"/>
      <w:r w:rsidR="00790919" w:rsidRPr="00790919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Porquiland</w:t>
      </w:r>
      <w:proofErr w:type="spellEnd"/>
      <w:r w:rsidR="0079091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</w:t>
      </w:r>
      <w:r w:rsidR="0076085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</w:t>
      </w:r>
      <w:r w:rsidR="0079091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un juego de mesa educativo destinado a niños de 5º y 6º de primaria </w:t>
      </w:r>
      <w:r w:rsidR="0007154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para aproximar conceptos financieros de forma amena y divertida</w:t>
      </w:r>
      <w:r w:rsidR="0076085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,</w:t>
      </w:r>
      <w:r w:rsidR="0007154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con el objetivo de que sea una herramienta pedagógica útil para los centros educativos. </w:t>
      </w:r>
    </w:p>
    <w:p w14:paraId="0BA46688" w14:textId="3AA16281" w:rsidR="00581160" w:rsidRDefault="00581160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Una acción que se suma a las actividades </w:t>
      </w:r>
      <w:r w:rsidR="0040691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que ya están desarrollándose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: </w:t>
      </w:r>
    </w:p>
    <w:p w14:paraId="2E370376" w14:textId="5C4CB49F" w:rsidR="00581160" w:rsidRDefault="00581160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ormación para profesores (desde primaria hasta Bachiller) impartidos de forma online a través de los CEFIRE’S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que en el curso escolar 2023-2024 realizaron 378 alumnos. </w:t>
      </w:r>
      <w:r w:rsidR="00B3304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Una actuación que tiene un efecto multiplicador en la difusión de los conceptos financieros. </w:t>
      </w:r>
    </w:p>
    <w:p w14:paraId="3288642C" w14:textId="5EE339D5" w:rsidR="00581160" w:rsidRDefault="00581160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ormación presencial y online para alumnado de Primaria y FP sobre emprendimiento, ciberseguridad y juegos de azar o apuestas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, en las que en el último curso participaron más de 500 alumnos. </w:t>
      </w:r>
    </w:p>
    <w:p w14:paraId="45B925FB" w14:textId="523FA068" w:rsidR="00581160" w:rsidRDefault="00581160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</w:t>
      </w:r>
      <w:r w:rsidRPr="00581160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n concurso de educación financiera para alumnos de 4t de ESO de la Comunidad Valenciana, 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que en la última edición participaron 481 alumnos de 24 centros educativos de 20 poblaciones de la Comunidad Valenciana. </w:t>
      </w:r>
    </w:p>
    <w:p w14:paraId="13CD9E53" w14:textId="58B8C2C5" w:rsidR="00E41888" w:rsidRDefault="00E41888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 xml:space="preserve">Formación presencial e información para personas mayores sobre nuevas tecnologías, servicios bancarios y ciberseguridad. </w:t>
      </w:r>
    </w:p>
    <w:p w14:paraId="111645C5" w14:textId="0A670898" w:rsidR="00E41888" w:rsidRDefault="00CD1CA7" w:rsidP="0040691E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 t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eatro de marionetas para público escolar,</w:t>
      </w:r>
      <w:r w:rsidR="0040691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basado en los cuentos 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 educación financiera, cuyo objetivo </w:t>
      </w:r>
      <w:r w:rsidR="0040691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es aproximar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conceptos financieros </w:t>
      </w:r>
      <w:r w:rsidR="0076085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junto con la 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APP </w:t>
      </w:r>
      <w:r w:rsidR="0076085E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que también los reúne</w:t>
      </w:r>
      <w:r w:rsidR="00E41888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. En el último curso escolar ha realizado 12 representaciones a las que han asistido 1.600 alumnos. </w:t>
      </w:r>
    </w:p>
    <w:p w14:paraId="4210589B" w14:textId="7313D6D1" w:rsidR="00E41888" w:rsidRDefault="00E41888" w:rsidP="00581160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En periodo de prueba, </w:t>
      </w:r>
      <w:r w:rsidR="00B3304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una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</w:t>
      </w:r>
      <w:r w:rsidR="00B3304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Aula Virtual propia para promover el uso de la tecnología para la inclusión y el fomento de la cultura financiera. </w:t>
      </w:r>
    </w:p>
    <w:p w14:paraId="2F3942B1" w14:textId="39F8B228" w:rsidR="00CD1CA7" w:rsidRDefault="00CD1CA7" w:rsidP="00CD1CA7">
      <w:pPr>
        <w:pStyle w:val="Prrafodelista"/>
        <w:numPr>
          <w:ilvl w:val="0"/>
          <w:numId w:val="4"/>
        </w:num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Web y redes sociales en la que se ofrece información de actualidad. </w:t>
      </w:r>
    </w:p>
    <w:p w14:paraId="293E78DE" w14:textId="7F084DA9" w:rsidR="00CD1CA7" w:rsidRPr="00CD1CA7" w:rsidRDefault="00CD1CA7" w:rsidP="00CD1CA7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En todas estas actividades, además de fomentar la educación financiera, se irán incorporando conceptos de sostenibilidad, conscientes de su importancia y en base al compromiso que la Entidad tiene en este sentido. </w:t>
      </w:r>
    </w:p>
    <w:p w14:paraId="10862247" w14:textId="0759DCF9" w:rsidR="00AA11AA" w:rsidRDefault="00AA11AA" w:rsidP="00AA11AA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ca-ES-valencia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Tal como ha explicado e</w:t>
      </w:r>
      <w:r w:rsidR="00B33046" w:rsidRPr="00B33046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l Presidente de Caixa Ontinyent, José Pla, 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se trata de “</w:t>
      </w:r>
      <w:r w:rsidRPr="00AA11A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una labor de formación y difusión a la que han accedido, desde que lanzamos el programa en 2016, más de 150.000 personas. Mejorar los conocimientos financieros se traduce en el ámbito personal y familiar en una mejora de bienestar, y en el ámbito laboral, empresarial o profesional, en mejores opciones de éxito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”. Añadiendo que “</w:t>
      </w:r>
      <w:r w:rsidRPr="00AA11AA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en nuestro caso, se trata de un programa orientado a las necesidades de nuestra gente, en constante evolución y que se adapta a la demanda y preferencias de sus usuarios</w:t>
      </w:r>
      <w:r w:rsidR="00790919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. Ese es el valor incalculable de nuestra obra social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</w:p>
    <w:p w14:paraId="62CEF051" w14:textId="6F9DB0B4" w:rsidR="00790919" w:rsidRDefault="00FF122D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Por su parte, el Gerente de la </w:t>
      </w:r>
      <w:proofErr w:type="spellStart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Fundació</w:t>
      </w:r>
      <w:proofErr w:type="spellEnd"/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Caixa Ontinyent, Roberto Sanz, ha</w:t>
      </w:r>
      <w:r w:rsidR="0079091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explicado que este programa “</w:t>
      </w:r>
      <w:r w:rsidR="00790919" w:rsidRPr="00790919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cuenta con unas líneas pedagógicas contrastadas, y en línea con los programas que se desarrollan a nivel nacional. Los resultados de los diferentes estudios realizados, tanto a nivel europeo como nacional, señalan la necesidad cada vez mayor de promover la alfabetización financiera. Por ello, a través del plan nacional de educación financiera se proponen acciones que mejoren esta situación como integrar la educación financiera en el currículum escolar, fomentar la educación financiera para adultos y potenciar el uso de la tecnología para la inclusión. Y en est</w:t>
      </w:r>
      <w:r w:rsidR="0076085E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e</w:t>
      </w:r>
      <w:r w:rsidR="00790919" w:rsidRPr="00790919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sentido estamos trabajando y desarrollando nuestras acciones</w:t>
      </w:r>
      <w:r w:rsidR="00790919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</w:p>
    <w:p w14:paraId="66A34A3E" w14:textId="77660745" w:rsidR="00790919" w:rsidRDefault="00790919" w:rsidP="000665DC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lastRenderedPageBreak/>
        <w:t>Por su parte, la Responsable del programa de educación financiera, Elena Enguix, ha explicado en que consiste el juego de mesa dirigido a niños de entre 10 a 12 años. “</w:t>
      </w:r>
      <w:proofErr w:type="spellStart"/>
      <w:r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Porquiland</w:t>
      </w:r>
      <w:proofErr w:type="spellEnd"/>
      <w:r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se ha configurado a partir de la experiencia y los conocimientos de profesionales de la educación</w:t>
      </w:r>
      <w:r w:rsidR="000665DC"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y sus objetivos son</w:t>
      </w:r>
      <w:r w:rsid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que los alumnos aprendan a gestionar el dinero, que sepan tomar </w:t>
      </w:r>
      <w:r w:rsidR="000665DC"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decisiones financieras informadas, </w:t>
      </w:r>
      <w:r w:rsid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que conozcan </w:t>
      </w:r>
      <w:r w:rsidR="000665DC"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el entorno económico y financiero, y </w:t>
      </w:r>
      <w:r w:rsid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ayudarles a </w:t>
      </w:r>
      <w:r w:rsidR="000665DC"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prepararse para la vida adulta</w:t>
      </w:r>
      <w:r w:rsidR="000665DC"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</w:p>
    <w:p w14:paraId="1466CA75" w14:textId="303D22CA" w:rsidR="000665DC" w:rsidRDefault="000665DC" w:rsidP="0018363F">
      <w:pPr>
        <w:spacing w:after="120" w:line="360" w:lineRule="auto"/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</w:pP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>Así mismo, Enguix ha destacado también que en una fase inicial “</w:t>
      </w:r>
      <w:r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nos desplazaremos a los centros educativos para la que los alumnos jueguen en un tablero de grandes dimensiones, con un monitor que guiará el juego y que les motive a volver a jugar, para que este juego, al igual que el resto de </w:t>
      </w:r>
      <w:r w:rsidR="0076085E"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>los proyectos</w:t>
      </w:r>
      <w:r w:rsidRPr="000665DC">
        <w:rPr>
          <w:rFonts w:ascii="Circular Std Book" w:eastAsia="Times New Roman" w:hAnsi="Circular Std Book" w:cs="Circular Std Book"/>
          <w:i/>
          <w:iCs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 que estamos desarrollando, tengan una continuidad en el tiempo</w:t>
      </w:r>
      <w:r>
        <w:rPr>
          <w:rFonts w:ascii="Circular Std Book" w:eastAsia="Times New Roman" w:hAnsi="Circular Std Book" w:cs="Circular Std Book"/>
          <w:color w:val="808080" w:themeColor="background1" w:themeShade="80"/>
          <w:sz w:val="22"/>
          <w:szCs w:val="22"/>
          <w:shd w:val="clear" w:color="auto" w:fill="FFFFFF"/>
          <w:lang w:val="es-ES"/>
        </w:rPr>
        <w:t xml:space="preserve">”. </w:t>
      </w:r>
    </w:p>
    <w:p w14:paraId="2897BC5A" w14:textId="44403B83" w:rsidR="000015AF" w:rsidRPr="00AA633D" w:rsidRDefault="00EB38D1" w:rsidP="0018363F">
      <w:pPr>
        <w:spacing w:after="120" w:line="360" w:lineRule="auto"/>
        <w:jc w:val="right"/>
        <w:rPr>
          <w:rFonts w:ascii="Circular Std Book" w:eastAsia="Times New Roman" w:hAnsi="Circular Std Book" w:cs="Circular Std Book"/>
          <w:color w:val="666666"/>
          <w:sz w:val="22"/>
          <w:szCs w:val="22"/>
          <w:shd w:val="clear" w:color="auto" w:fill="FFFFFF"/>
          <w:lang w:val="es-ES"/>
        </w:rPr>
        <w:sectPr w:rsidR="000015AF" w:rsidRPr="00AA633D" w:rsidSect="00E73984">
          <w:type w:val="continuous"/>
          <w:pgSz w:w="11900" w:h="16840"/>
          <w:pgMar w:top="1417" w:right="1552" w:bottom="1417" w:left="1701" w:header="708" w:footer="258" w:gutter="0"/>
          <w:cols w:space="708"/>
          <w:docGrid w:linePitch="360"/>
        </w:sectPr>
      </w:pPr>
      <w:r w:rsidRPr="00AA633D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Ontinyent, </w:t>
      </w:r>
      <w:r w:rsidR="000B1DD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 xml:space="preserve">2 de </w:t>
      </w:r>
      <w:r w:rsidR="008A1B36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octubre de 202</w:t>
      </w:r>
      <w:r w:rsidR="00790919">
        <w:rPr>
          <w:rFonts w:ascii="Circular Std Book" w:eastAsia="Times New Roman" w:hAnsi="Circular Std Book" w:cs="Circular Std Book"/>
          <w:b/>
          <w:color w:val="666666"/>
          <w:sz w:val="22"/>
          <w:szCs w:val="22"/>
          <w:shd w:val="clear" w:color="auto" w:fill="FFFFFF"/>
          <w:lang w:val="es-ES"/>
        </w:rPr>
        <w:t>4</w:t>
      </w:r>
    </w:p>
    <w:p w14:paraId="60219964" w14:textId="77777777" w:rsidR="00F32234" w:rsidRPr="00AA633D" w:rsidRDefault="00F32234" w:rsidP="00E54C9A">
      <w:pPr>
        <w:spacing w:after="120" w:line="360" w:lineRule="auto"/>
        <w:rPr>
          <w:rFonts w:ascii="Arial" w:eastAsia="Times New Roman" w:hAnsi="Arial" w:cs="Arial"/>
          <w:sz w:val="22"/>
          <w:szCs w:val="22"/>
          <w:lang w:val="es-ES"/>
        </w:rPr>
      </w:pPr>
    </w:p>
    <w:sectPr w:rsidR="00F32234" w:rsidRPr="00AA633D" w:rsidSect="00E73984">
      <w:type w:val="continuous"/>
      <w:pgSz w:w="11900" w:h="16840"/>
      <w:pgMar w:top="1417" w:right="1552" w:bottom="1417" w:left="1701" w:header="708" w:footer="258" w:gutter="0"/>
      <w:cols w:num="2" w:space="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B11140" w14:textId="77777777" w:rsidR="00175C32" w:rsidRDefault="00175C32" w:rsidP="001B31F6">
      <w:r>
        <w:separator/>
      </w:r>
    </w:p>
  </w:endnote>
  <w:endnote w:type="continuationSeparator" w:id="0">
    <w:p w14:paraId="79969547" w14:textId="77777777" w:rsidR="00175C32" w:rsidRDefault="00175C32" w:rsidP="001B3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ircular Std Book">
    <w:panose1 w:val="020B0604020101020102"/>
    <w:charset w:val="00"/>
    <w:family w:val="swiss"/>
    <w:notTrueType/>
    <w:pitch w:val="variable"/>
    <w:sig w:usb0="8000002F" w:usb1="5000E47B" w:usb2="00000008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A064A" w14:textId="77777777" w:rsidR="00F32234" w:rsidRDefault="006158D8">
    <w:pPr>
      <w:pStyle w:val="Piedepgina"/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</w:pPr>
    <w:r>
      <w:rPr>
        <w:rStyle w:val="Hipervnculo"/>
        <w:rFonts w:ascii="Circular Std Book" w:eastAsia="Times New Roman" w:hAnsi="Circular Std Book"/>
        <w:sz w:val="20"/>
        <w:szCs w:val="22"/>
        <w:shd w:val="clear" w:color="auto" w:fill="FFFFFF"/>
        <w:lang w:val="ca-ES"/>
      </w:rPr>
      <w:t>comunicacion@caixaontinyent.es</w:t>
    </w:r>
  </w:p>
  <w:p w14:paraId="01B030DC" w14:textId="77777777" w:rsidR="0024608B" w:rsidRPr="00F32234" w:rsidRDefault="006158D8">
    <w:pPr>
      <w:pStyle w:val="Piedepgina"/>
      <w:rPr>
        <w:sz w:val="22"/>
      </w:rPr>
    </w:pPr>
    <w:r>
      <w:rPr>
        <w:rFonts w:ascii="Circular Std Book" w:eastAsia="Times New Roman" w:hAnsi="Circular Std Book"/>
        <w:color w:val="666666"/>
        <w:sz w:val="20"/>
        <w:szCs w:val="22"/>
        <w:shd w:val="clear" w:color="auto" w:fill="FFFFFF"/>
        <w:lang w:val="ca-ES"/>
      </w:rPr>
      <w:t>96 291 91 45</w:t>
    </w:r>
  </w:p>
  <w:p w14:paraId="5F4F11A8" w14:textId="77777777" w:rsidR="0024608B" w:rsidRDefault="0024608B" w:rsidP="00DE0F92">
    <w:pPr>
      <w:pStyle w:val="Encabezado"/>
      <w:tabs>
        <w:tab w:val="clear" w:pos="4252"/>
        <w:tab w:val="clear" w:pos="8504"/>
        <w:tab w:val="left" w:pos="5360"/>
      </w:tabs>
      <w:jc w:val="right"/>
      <w:rPr>
        <w:rFonts w:ascii="Arial" w:hAnsi="Arial" w:cs="Arial"/>
        <w:color w:val="101E8E"/>
        <w:sz w:val="18"/>
        <w:szCs w:val="18"/>
      </w:rPr>
    </w:pPr>
  </w:p>
  <w:p w14:paraId="77653A8A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  <w:r>
      <w:rPr>
        <w:rFonts w:ascii="Arial" w:hAnsi="Arial" w:cs="Arial"/>
        <w:color w:val="101E8E"/>
        <w:sz w:val="18"/>
        <w:szCs w:val="18"/>
      </w:rPr>
      <w:tab/>
    </w:r>
  </w:p>
  <w:p w14:paraId="0183AF2E" w14:textId="77777777" w:rsidR="0024608B" w:rsidRPr="00816103" w:rsidRDefault="0024608B" w:rsidP="00816103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287C87" w14:textId="77777777" w:rsidR="00175C32" w:rsidRDefault="00175C32" w:rsidP="001B31F6">
      <w:r>
        <w:separator/>
      </w:r>
    </w:p>
  </w:footnote>
  <w:footnote w:type="continuationSeparator" w:id="0">
    <w:p w14:paraId="5874A4C8" w14:textId="77777777" w:rsidR="00175C32" w:rsidRDefault="00175C32" w:rsidP="001B3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63088F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</w:pPr>
    <w:r>
      <w:tab/>
    </w:r>
  </w:p>
  <w:p w14:paraId="554C2F1D" w14:textId="7961C9BC" w:rsidR="0024608B" w:rsidRPr="00873FBB" w:rsidRDefault="00AF394D" w:rsidP="00DE0F92">
    <w:pPr>
      <w:pStyle w:val="Encabezado"/>
      <w:tabs>
        <w:tab w:val="clear" w:pos="4252"/>
        <w:tab w:val="clear" w:pos="8504"/>
        <w:tab w:val="left" w:pos="4678"/>
      </w:tabs>
      <w:rPr>
        <w:rFonts w:ascii="Arial" w:hAnsi="Arial" w:cs="Arial"/>
        <w:color w:val="101E8E"/>
        <w:sz w:val="18"/>
        <w:szCs w:val="18"/>
        <w:lang w:val="es-ES"/>
      </w:rPr>
    </w:pPr>
    <w:r>
      <w:rPr>
        <w:noProof/>
        <w:lang w:val="es-ES"/>
      </w:rPr>
      <w:drawing>
        <wp:inline distT="0" distB="0" distL="0" distR="0" wp14:anchorId="442E4E21" wp14:editId="3F782400">
          <wp:extent cx="1482302" cy="463743"/>
          <wp:effectExtent l="0" t="0" r="0" b="0"/>
          <wp:docPr id="3" name="Imagen 3" descr="Fusion:Users:javi:Dropbox:CAIXAONTINYENT:CAO_IDENTIDAD:AAFF:logo:marca:fundacio:AAFF_fundacio:mapa_de_bits:color:horitzontal_fundacio_mini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ion:Users:javi:Dropbox:CAIXAONTINYENT:CAO_IDENTIDAD:AAFF:logo:marca:fundacio:AAFF_fundacio:mapa_de_bits:color:horitzontal_fundacio_mini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2967" cy="463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608B" w:rsidRPr="00726F99">
      <w:rPr>
        <w:lang w:val="ca-ES"/>
      </w:rPr>
      <w:tab/>
    </w:r>
    <w:r w:rsidR="00AC1EA7" w:rsidRPr="00726F99">
      <w:rPr>
        <w:lang w:val="ca-ES"/>
      </w:rPr>
      <w:t xml:space="preserve">            </w:t>
    </w:r>
    <w:r w:rsidR="0024608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Ontinyent a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 xml:space="preserve">2 de </w:t>
    </w:r>
    <w:r w:rsidR="00365EE4">
      <w:rPr>
        <w:rFonts w:ascii="Circular Std Book" w:hAnsi="Circular Std Book" w:cs="Arial"/>
        <w:color w:val="101E8E"/>
        <w:sz w:val="18"/>
        <w:szCs w:val="18"/>
        <w:lang w:val="es-ES"/>
      </w:rPr>
      <w:t xml:space="preserve">octubre </w:t>
    </w:r>
    <w:r w:rsidR="00873FBB" w:rsidRPr="00873FBB">
      <w:rPr>
        <w:rFonts w:ascii="Circular Std Book" w:hAnsi="Circular Std Book" w:cs="Arial"/>
        <w:color w:val="101E8E"/>
        <w:sz w:val="18"/>
        <w:szCs w:val="18"/>
        <w:lang w:val="es-ES"/>
      </w:rPr>
      <w:t>de 202</w:t>
    </w:r>
    <w:r w:rsidR="001855CA">
      <w:rPr>
        <w:rFonts w:ascii="Circular Std Book" w:hAnsi="Circular Std Book" w:cs="Arial"/>
        <w:color w:val="101E8E"/>
        <w:sz w:val="18"/>
        <w:szCs w:val="18"/>
        <w:lang w:val="es-ES"/>
      </w:rPr>
      <w:t>4</w:t>
    </w:r>
  </w:p>
  <w:p w14:paraId="66B84B37" w14:textId="77777777" w:rsidR="0024608B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  <w:p w14:paraId="472A7B76" w14:textId="77777777" w:rsidR="0024608B" w:rsidRPr="001B31F6" w:rsidRDefault="0024608B" w:rsidP="001B31F6">
    <w:pPr>
      <w:pStyle w:val="Encabezado"/>
      <w:tabs>
        <w:tab w:val="clear" w:pos="4252"/>
        <w:tab w:val="clear" w:pos="8504"/>
        <w:tab w:val="left" w:pos="5360"/>
      </w:tabs>
      <w:rPr>
        <w:rFonts w:ascii="Arial" w:hAnsi="Arial" w:cs="Arial"/>
        <w:color w:val="101E8E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0226D"/>
    <w:multiLevelType w:val="hybridMultilevel"/>
    <w:tmpl w:val="E86C1E4E"/>
    <w:lvl w:ilvl="0" w:tplc="21923FE0">
      <w:numFmt w:val="bullet"/>
      <w:lvlText w:val="-"/>
      <w:lvlJc w:val="left"/>
      <w:pPr>
        <w:ind w:left="1065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A041DC6"/>
    <w:multiLevelType w:val="hybridMultilevel"/>
    <w:tmpl w:val="546623F2"/>
    <w:lvl w:ilvl="0" w:tplc="43CAEA26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D4E9A"/>
    <w:multiLevelType w:val="hybridMultilevel"/>
    <w:tmpl w:val="E9F4B7D2"/>
    <w:lvl w:ilvl="0" w:tplc="A6B27BAC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E86FDC"/>
    <w:multiLevelType w:val="hybridMultilevel"/>
    <w:tmpl w:val="F170086A"/>
    <w:lvl w:ilvl="0" w:tplc="C9649454">
      <w:numFmt w:val="bullet"/>
      <w:lvlText w:val="-"/>
      <w:lvlJc w:val="left"/>
      <w:pPr>
        <w:ind w:left="720" w:hanging="360"/>
      </w:pPr>
      <w:rPr>
        <w:rFonts w:ascii="Circular Std Book" w:eastAsia="Times New Roman" w:hAnsi="Circular Std Book" w:cs="Circular Std Book" w:hint="default"/>
      </w:rPr>
    </w:lvl>
    <w:lvl w:ilvl="1" w:tplc="08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399462">
    <w:abstractNumId w:val="1"/>
  </w:num>
  <w:num w:numId="2" w16cid:durableId="1013147425">
    <w:abstractNumId w:val="2"/>
  </w:num>
  <w:num w:numId="3" w16cid:durableId="348607198">
    <w:abstractNumId w:val="0"/>
  </w:num>
  <w:num w:numId="4" w16cid:durableId="182987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1F6"/>
    <w:rsid w:val="000015AF"/>
    <w:rsid w:val="00010C50"/>
    <w:rsid w:val="00043105"/>
    <w:rsid w:val="000665DC"/>
    <w:rsid w:val="00071540"/>
    <w:rsid w:val="000A7B89"/>
    <w:rsid w:val="000B1DD6"/>
    <w:rsid w:val="000B4A8A"/>
    <w:rsid w:val="000D7AA0"/>
    <w:rsid w:val="00111B9C"/>
    <w:rsid w:val="001267C4"/>
    <w:rsid w:val="00175C32"/>
    <w:rsid w:val="0018363F"/>
    <w:rsid w:val="001855CA"/>
    <w:rsid w:val="001A7E7E"/>
    <w:rsid w:val="001B31F6"/>
    <w:rsid w:val="001D2396"/>
    <w:rsid w:val="001D7636"/>
    <w:rsid w:val="0024608B"/>
    <w:rsid w:val="00263F28"/>
    <w:rsid w:val="00264D78"/>
    <w:rsid w:val="0027642F"/>
    <w:rsid w:val="00276946"/>
    <w:rsid w:val="00282E49"/>
    <w:rsid w:val="002859E5"/>
    <w:rsid w:val="002921FF"/>
    <w:rsid w:val="002D1F51"/>
    <w:rsid w:val="002D5A27"/>
    <w:rsid w:val="002F466F"/>
    <w:rsid w:val="002F4FCC"/>
    <w:rsid w:val="002F66D0"/>
    <w:rsid w:val="002F6DD8"/>
    <w:rsid w:val="003011F2"/>
    <w:rsid w:val="00314425"/>
    <w:rsid w:val="00323B67"/>
    <w:rsid w:val="0032598E"/>
    <w:rsid w:val="00344BB2"/>
    <w:rsid w:val="00355096"/>
    <w:rsid w:val="00364B11"/>
    <w:rsid w:val="00365EE4"/>
    <w:rsid w:val="003718B3"/>
    <w:rsid w:val="0038284B"/>
    <w:rsid w:val="003912AF"/>
    <w:rsid w:val="003C264E"/>
    <w:rsid w:val="003C4437"/>
    <w:rsid w:val="003D522E"/>
    <w:rsid w:val="003E01E8"/>
    <w:rsid w:val="003E07F4"/>
    <w:rsid w:val="003E2C67"/>
    <w:rsid w:val="0040691E"/>
    <w:rsid w:val="00431DD7"/>
    <w:rsid w:val="00434567"/>
    <w:rsid w:val="004632FE"/>
    <w:rsid w:val="00473890"/>
    <w:rsid w:val="00491EE8"/>
    <w:rsid w:val="00492865"/>
    <w:rsid w:val="004B4D2F"/>
    <w:rsid w:val="004D4647"/>
    <w:rsid w:val="005271B4"/>
    <w:rsid w:val="005274E5"/>
    <w:rsid w:val="005704F2"/>
    <w:rsid w:val="005774AD"/>
    <w:rsid w:val="00581160"/>
    <w:rsid w:val="00583393"/>
    <w:rsid w:val="00597986"/>
    <w:rsid w:val="005A366A"/>
    <w:rsid w:val="005C3A3B"/>
    <w:rsid w:val="005D2F73"/>
    <w:rsid w:val="005E23BE"/>
    <w:rsid w:val="00605FCD"/>
    <w:rsid w:val="00610D35"/>
    <w:rsid w:val="006158D8"/>
    <w:rsid w:val="00616F8A"/>
    <w:rsid w:val="00622545"/>
    <w:rsid w:val="00627A5D"/>
    <w:rsid w:val="00650EE3"/>
    <w:rsid w:val="006531FF"/>
    <w:rsid w:val="006551E4"/>
    <w:rsid w:val="00675768"/>
    <w:rsid w:val="006A01FF"/>
    <w:rsid w:val="006A0DFA"/>
    <w:rsid w:val="006B7D34"/>
    <w:rsid w:val="006D0F80"/>
    <w:rsid w:val="006F12BF"/>
    <w:rsid w:val="00726F99"/>
    <w:rsid w:val="00732D34"/>
    <w:rsid w:val="0076085E"/>
    <w:rsid w:val="00780BB7"/>
    <w:rsid w:val="00790073"/>
    <w:rsid w:val="00790919"/>
    <w:rsid w:val="007B3AEC"/>
    <w:rsid w:val="007B6953"/>
    <w:rsid w:val="00816103"/>
    <w:rsid w:val="00820BD9"/>
    <w:rsid w:val="008224DC"/>
    <w:rsid w:val="008343FF"/>
    <w:rsid w:val="00834EA8"/>
    <w:rsid w:val="008412D3"/>
    <w:rsid w:val="00844010"/>
    <w:rsid w:val="008545B1"/>
    <w:rsid w:val="008664BA"/>
    <w:rsid w:val="00873FBB"/>
    <w:rsid w:val="008A1B36"/>
    <w:rsid w:val="008A7A4F"/>
    <w:rsid w:val="008A7ECA"/>
    <w:rsid w:val="008B3963"/>
    <w:rsid w:val="009119A8"/>
    <w:rsid w:val="0093521C"/>
    <w:rsid w:val="0094143E"/>
    <w:rsid w:val="00957F99"/>
    <w:rsid w:val="00966158"/>
    <w:rsid w:val="009A0C21"/>
    <w:rsid w:val="009B0841"/>
    <w:rsid w:val="009B1206"/>
    <w:rsid w:val="009C0C32"/>
    <w:rsid w:val="009D16D8"/>
    <w:rsid w:val="009D64A7"/>
    <w:rsid w:val="009D7680"/>
    <w:rsid w:val="00A23AB5"/>
    <w:rsid w:val="00A25BCB"/>
    <w:rsid w:val="00A42BCF"/>
    <w:rsid w:val="00A5551D"/>
    <w:rsid w:val="00A5642A"/>
    <w:rsid w:val="00A67307"/>
    <w:rsid w:val="00A73DAA"/>
    <w:rsid w:val="00AA11AA"/>
    <w:rsid w:val="00AA633D"/>
    <w:rsid w:val="00AC162C"/>
    <w:rsid w:val="00AC1EA7"/>
    <w:rsid w:val="00AE6BDA"/>
    <w:rsid w:val="00AF394D"/>
    <w:rsid w:val="00AF6A8C"/>
    <w:rsid w:val="00B33046"/>
    <w:rsid w:val="00B44848"/>
    <w:rsid w:val="00B50B25"/>
    <w:rsid w:val="00B824D4"/>
    <w:rsid w:val="00B847BF"/>
    <w:rsid w:val="00B90431"/>
    <w:rsid w:val="00BC5D2A"/>
    <w:rsid w:val="00BE54C4"/>
    <w:rsid w:val="00BF3225"/>
    <w:rsid w:val="00C30E22"/>
    <w:rsid w:val="00C3509C"/>
    <w:rsid w:val="00C56688"/>
    <w:rsid w:val="00C74276"/>
    <w:rsid w:val="00C916F4"/>
    <w:rsid w:val="00C92DC9"/>
    <w:rsid w:val="00CA4AB0"/>
    <w:rsid w:val="00CB0107"/>
    <w:rsid w:val="00CB3C21"/>
    <w:rsid w:val="00CD1CA7"/>
    <w:rsid w:val="00CD7C4C"/>
    <w:rsid w:val="00CE03C3"/>
    <w:rsid w:val="00CF0B78"/>
    <w:rsid w:val="00CF1F96"/>
    <w:rsid w:val="00D01029"/>
    <w:rsid w:val="00D30436"/>
    <w:rsid w:val="00D4156D"/>
    <w:rsid w:val="00D657FB"/>
    <w:rsid w:val="00D81F2B"/>
    <w:rsid w:val="00D82095"/>
    <w:rsid w:val="00DB655C"/>
    <w:rsid w:val="00DD3580"/>
    <w:rsid w:val="00DD45E0"/>
    <w:rsid w:val="00DE0F92"/>
    <w:rsid w:val="00DF2516"/>
    <w:rsid w:val="00E0222A"/>
    <w:rsid w:val="00E2575B"/>
    <w:rsid w:val="00E41888"/>
    <w:rsid w:val="00E54C9A"/>
    <w:rsid w:val="00E73984"/>
    <w:rsid w:val="00E803EF"/>
    <w:rsid w:val="00E81A2E"/>
    <w:rsid w:val="00E81EDE"/>
    <w:rsid w:val="00E864C3"/>
    <w:rsid w:val="00E93B70"/>
    <w:rsid w:val="00E96F23"/>
    <w:rsid w:val="00EA3AE2"/>
    <w:rsid w:val="00EB38D1"/>
    <w:rsid w:val="00EB4C11"/>
    <w:rsid w:val="00F1171B"/>
    <w:rsid w:val="00F12321"/>
    <w:rsid w:val="00F27611"/>
    <w:rsid w:val="00F32234"/>
    <w:rsid w:val="00F37DBD"/>
    <w:rsid w:val="00F409B4"/>
    <w:rsid w:val="00F447B8"/>
    <w:rsid w:val="00F55A47"/>
    <w:rsid w:val="00F561DB"/>
    <w:rsid w:val="00F77FA3"/>
    <w:rsid w:val="00F87A06"/>
    <w:rsid w:val="00F91F71"/>
    <w:rsid w:val="00FA05C1"/>
    <w:rsid w:val="00FA4C72"/>
    <w:rsid w:val="00FB436A"/>
    <w:rsid w:val="00FB4FB2"/>
    <w:rsid w:val="00FC2E7D"/>
    <w:rsid w:val="00FE12B9"/>
    <w:rsid w:val="00FF122D"/>
    <w:rsid w:val="00FF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469F28"/>
  <w14:defaultImageDpi w14:val="300"/>
  <w15:docId w15:val="{27D6D21E-8A86-489F-9C56-FF782E8C6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1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1F6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1F6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31F6"/>
  </w:style>
  <w:style w:type="paragraph" w:styleId="Piedepgina">
    <w:name w:val="footer"/>
    <w:basedOn w:val="Normal"/>
    <w:link w:val="PiedepginaCar"/>
    <w:uiPriority w:val="99"/>
    <w:unhideWhenUsed/>
    <w:rsid w:val="001B31F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31F6"/>
  </w:style>
  <w:style w:type="character" w:styleId="Hipervnculo">
    <w:name w:val="Hyperlink"/>
    <w:basedOn w:val="Fuentedeprrafopredeter"/>
    <w:uiPriority w:val="99"/>
    <w:unhideWhenUsed/>
    <w:rsid w:val="001B31F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AC162C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01029"/>
    <w:rPr>
      <w:color w:val="605E5C"/>
      <w:shd w:val="clear" w:color="auto" w:fill="E1DFDD"/>
    </w:rPr>
  </w:style>
  <w:style w:type="paragraph" w:styleId="Sangradetextonormal">
    <w:name w:val="Body Text Indent"/>
    <w:basedOn w:val="Normal"/>
    <w:link w:val="SangradetextonormalCar"/>
    <w:rsid w:val="00E93B70"/>
    <w:pPr>
      <w:autoSpaceDE w:val="0"/>
      <w:autoSpaceDN w:val="0"/>
      <w:jc w:val="both"/>
    </w:pPr>
    <w:rPr>
      <w:rFonts w:ascii="Times" w:eastAsia="Times New Roman" w:hAnsi="Times" w:cs="Times"/>
      <w:lang w:val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E93B70"/>
    <w:rPr>
      <w:rFonts w:ascii="Times" w:eastAsia="Times New Roman" w:hAnsi="Times" w:cs="Time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Javi</dc:creator>
  <cp:lastModifiedBy>Carmen Chover Olmo</cp:lastModifiedBy>
  <cp:revision>8</cp:revision>
  <cp:lastPrinted>2023-10-02T07:39:00Z</cp:lastPrinted>
  <dcterms:created xsi:type="dcterms:W3CDTF">2024-10-01T09:06:00Z</dcterms:created>
  <dcterms:modified xsi:type="dcterms:W3CDTF">2024-10-02T07:04:00Z</dcterms:modified>
</cp:coreProperties>
</file>